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Dobrý deň prajem pani Kolaříková!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Posielam Vám recenziu od pani prednostky: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„Od 01.02.2024 máme v meste Tornaľa nainštalovanú digitálnu úradnú tabuľu. Zamestnanci mesta a hlavne občania sú veľmi spokojný s prístupom k informáciám v akúkoľvek dennú aj nočnú hodinu. Oceňujeme prístup spoločnosti k zabezpečeniu funkčnosti a vážime si ich cenné rady pri výbere digitálnej úradnej tabule prispôsobenej našim požiadavkám.“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Ing. Mgr. Milena Helembaiová, MBA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prednostka MsÚ Tornaľa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S pozdravom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Ing. Štefan Szőke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Referent informatiky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Mesto Tornaľa 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Mestský úrad Tornaľa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Mierová 14</w:t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color w:val="000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rtl w:val="0"/>
        </w:rPr>
        <w:t xml:space="preserve">982 01  Tornaľa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